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8B71D" w14:textId="649D5056" w:rsidR="008F7B92" w:rsidRPr="008F7B92" w:rsidRDefault="008F7B92" w:rsidP="008F7B92">
      <w:pPr>
        <w:rPr>
          <w:b/>
          <w:bCs/>
          <w:sz w:val="40"/>
          <w:szCs w:val="40"/>
        </w:rPr>
      </w:pPr>
      <w:r w:rsidRPr="008F7B92">
        <w:rPr>
          <w:b/>
          <w:bCs/>
          <w:sz w:val="40"/>
          <w:szCs w:val="40"/>
        </w:rPr>
        <w:t xml:space="preserve">Practice Changing </w:t>
      </w:r>
      <w:proofErr w:type="spellStart"/>
      <w:r w:rsidRPr="008F7B92">
        <w:rPr>
          <w:b/>
          <w:bCs/>
          <w:sz w:val="40"/>
          <w:szCs w:val="40"/>
        </w:rPr>
        <w:t>UpDates</w:t>
      </w:r>
      <w:proofErr w:type="spellEnd"/>
    </w:p>
    <w:p w14:paraId="430D6437" w14:textId="42ABB698" w:rsidR="008F7B92" w:rsidRPr="008F7B92" w:rsidRDefault="008F7B92" w:rsidP="008F7B92">
      <w:pPr>
        <w:rPr>
          <w:color w:val="C00000"/>
          <w:sz w:val="28"/>
          <w:szCs w:val="28"/>
        </w:rPr>
      </w:pPr>
      <w:r w:rsidRPr="008F7B92">
        <w:rPr>
          <w:b/>
          <w:bCs/>
          <w:color w:val="C00000"/>
          <w:sz w:val="28"/>
          <w:szCs w:val="28"/>
        </w:rPr>
        <w:t xml:space="preserve">INFECTIOUS DISEASES </w:t>
      </w:r>
      <w:r w:rsidRPr="008F7B92">
        <w:rPr>
          <w:b/>
          <w:bCs/>
          <w:color w:val="C00000"/>
          <w:sz w:val="28"/>
          <w:szCs w:val="28"/>
          <w:highlight w:val="yellow"/>
        </w:rPr>
        <w:t>(January 2025)</w:t>
      </w:r>
    </w:p>
    <w:p w14:paraId="73CA63CD" w14:textId="77777777" w:rsidR="008F7B92" w:rsidRPr="008F7B92" w:rsidRDefault="008F7B92" w:rsidP="008F7B92">
      <w:pPr>
        <w:rPr>
          <w:b/>
          <w:bCs/>
          <w:color w:val="4472C4" w:themeColor="accent1"/>
          <w:sz w:val="32"/>
          <w:szCs w:val="32"/>
        </w:rPr>
      </w:pPr>
      <w:r w:rsidRPr="008F7B92">
        <w:rPr>
          <w:b/>
          <w:bCs/>
          <w:color w:val="4472C4" w:themeColor="accent1"/>
          <w:sz w:val="32"/>
          <w:szCs w:val="32"/>
        </w:rPr>
        <w:t>Updated United States guidelines on perinatal HIV transmission</w:t>
      </w:r>
    </w:p>
    <w:p w14:paraId="366396CD" w14:textId="77777777" w:rsidR="008F7B92" w:rsidRPr="008F7B92" w:rsidRDefault="008F7B92" w:rsidP="00BF73E8">
      <w:pPr>
        <w:jc w:val="both"/>
      </w:pPr>
      <w:r w:rsidRPr="008F7B92">
        <w:t>●For infants born to women who have maintained a viral load &lt;50 copies/mL on antiretroviral therapy (ART) from 20 weeks gestation through delivery, we suggest two weeks of prophylaxis with zidovudine (</w:t>
      </w:r>
      <w:hyperlink r:id="rId5" w:history="1">
        <w:r w:rsidRPr="008F7B92">
          <w:rPr>
            <w:rStyle w:val="Hyperlink"/>
            <w:b/>
            <w:bCs/>
          </w:rPr>
          <w:t>Grade 2C</w:t>
        </w:r>
      </w:hyperlink>
      <w:r w:rsidRPr="008F7B92">
        <w:t>). For infants born to mothers who have viremia (HIV RNA level ≥50 copies/mL, either documented or presumed) at the time of, or in the four weeks prior to delivery, we recommend presumptive therapy with a three-drug antiretroviral regimen (</w:t>
      </w:r>
      <w:hyperlink r:id="rId6" w:history="1">
        <w:r w:rsidRPr="008F7B92">
          <w:rPr>
            <w:rStyle w:val="Hyperlink"/>
            <w:b/>
            <w:bCs/>
          </w:rPr>
          <w:t>Grade 1B</w:t>
        </w:r>
      </w:hyperlink>
      <w:r w:rsidRPr="008F7B92">
        <w:t>). For all others, we engage in shared decision-making to decide between these two approaches.</w:t>
      </w:r>
    </w:p>
    <w:p w14:paraId="259CFC88" w14:textId="77777777" w:rsidR="008F7B92" w:rsidRPr="008F7B92" w:rsidRDefault="008F7B92" w:rsidP="00BF73E8">
      <w:pPr>
        <w:ind w:left="360"/>
        <w:jc w:val="both"/>
      </w:pPr>
      <w:r w:rsidRPr="008F7B92">
        <w:t>The United States Department of Health and Human Services has updated the perinatal HIV clinical guidelines [</w:t>
      </w:r>
      <w:hyperlink r:id="rId7" w:history="1">
        <w:r w:rsidRPr="008F7B92">
          <w:rPr>
            <w:rStyle w:val="Hyperlink"/>
          </w:rPr>
          <w:t>2</w:t>
        </w:r>
      </w:hyperlink>
      <w:r w:rsidRPr="008F7B92">
        <w:t xml:space="preserve">]. They now categorize infants born to mothers with HIV into three risk stratification groups based on maternal HIV viral load during pregnancy, the most significant risk factor for transmission. The lowest-risk infants are born to mothers with sustained viral suppression (HIV RNA &lt;50 copies/mL) </w:t>
      </w:r>
      <w:proofErr w:type="gramStart"/>
      <w:r w:rsidRPr="008F7B92">
        <w:t>since</w:t>
      </w:r>
      <w:proofErr w:type="gramEnd"/>
      <w:r w:rsidRPr="008F7B92">
        <w:t xml:space="preserve"> 20 weeks gestation. The highest-risk infants are born to mothers with a detectable HIV viral load within four weeks of delivery. All other infants fall into the middle-risk category. This risk stratification informs the antiretroviral regimen given to the infant to prevent HIV transmission, outlined in the table (</w:t>
      </w:r>
      <w:hyperlink r:id="rId8" w:history="1">
        <w:r w:rsidRPr="008F7B92">
          <w:rPr>
            <w:rStyle w:val="Hyperlink"/>
          </w:rPr>
          <w:t>table 2</w:t>
        </w:r>
      </w:hyperlink>
      <w:r w:rsidRPr="008F7B92">
        <w:t>). Our approach to the management of infants exposed to HIV at birth is consistent with these updated guidelines.</w:t>
      </w:r>
    </w:p>
    <w:p w14:paraId="2F377E6A" w14:textId="77777777" w:rsidR="008F7B92" w:rsidRPr="008F7B92" w:rsidRDefault="008F7B92" w:rsidP="00BF73E8">
      <w:pPr>
        <w:jc w:val="both"/>
        <w:rPr>
          <w:b/>
          <w:bCs/>
          <w:color w:val="C00000"/>
          <w:sz w:val="28"/>
          <w:szCs w:val="28"/>
        </w:rPr>
      </w:pPr>
      <w:r w:rsidRPr="008F7B92">
        <w:rPr>
          <w:b/>
          <w:bCs/>
          <w:color w:val="C00000"/>
          <w:sz w:val="28"/>
          <w:szCs w:val="28"/>
        </w:rPr>
        <w:t xml:space="preserve">ALLERGY AND IMMUNOLOGY </w:t>
      </w:r>
      <w:r w:rsidRPr="008F7B92">
        <w:rPr>
          <w:b/>
          <w:bCs/>
          <w:color w:val="C00000"/>
          <w:sz w:val="28"/>
          <w:szCs w:val="28"/>
          <w:highlight w:val="yellow"/>
        </w:rPr>
        <w:t>(February 2025)</w:t>
      </w:r>
    </w:p>
    <w:p w14:paraId="7EF96AF7" w14:textId="77777777" w:rsidR="008F7B92" w:rsidRPr="008F7B92" w:rsidRDefault="008F7B92" w:rsidP="00BF73E8">
      <w:pPr>
        <w:jc w:val="both"/>
        <w:rPr>
          <w:color w:val="4472C4" w:themeColor="accent1"/>
          <w:sz w:val="32"/>
          <w:szCs w:val="32"/>
        </w:rPr>
      </w:pPr>
      <w:r w:rsidRPr="008F7B92">
        <w:rPr>
          <w:b/>
          <w:bCs/>
          <w:color w:val="4472C4" w:themeColor="accent1"/>
          <w:sz w:val="32"/>
          <w:szCs w:val="32"/>
        </w:rPr>
        <w:t>Egg allergy no longer a concern for any vaccines</w:t>
      </w:r>
    </w:p>
    <w:p w14:paraId="41898A5B" w14:textId="77777777" w:rsidR="008F7B92" w:rsidRPr="008F7B92" w:rsidRDefault="008F7B92" w:rsidP="00BF73E8">
      <w:pPr>
        <w:jc w:val="both"/>
      </w:pPr>
      <w:r w:rsidRPr="008F7B92">
        <w:t>●Hen's egg allergy is no longer a reason to withhold </w:t>
      </w:r>
      <w:hyperlink r:id="rId9" w:history="1">
        <w:r w:rsidRPr="008F7B92">
          <w:rPr>
            <w:rStyle w:val="Hyperlink"/>
          </w:rPr>
          <w:t>yellow fever vaccine</w:t>
        </w:r>
      </w:hyperlink>
      <w:r w:rsidRPr="008F7B92">
        <w:t> or any other vaccine, including influenza, measles, mumps, and rubella (MMR), and rabies.</w:t>
      </w:r>
    </w:p>
    <w:p w14:paraId="548D8C04" w14:textId="77777777" w:rsidR="008F7B92" w:rsidRPr="008F7B92" w:rsidRDefault="008F7B92" w:rsidP="00BF73E8">
      <w:pPr>
        <w:ind w:left="360"/>
        <w:jc w:val="both"/>
      </w:pPr>
      <w:r w:rsidRPr="008F7B92">
        <w:t>Some vaccines contain trace amounts of egg protein (</w:t>
      </w:r>
      <w:hyperlink r:id="rId10" w:history="1">
        <w:r w:rsidRPr="008F7B92">
          <w:rPr>
            <w:rStyle w:val="Hyperlink"/>
          </w:rPr>
          <w:t>table 1</w:t>
        </w:r>
      </w:hyperlink>
      <w:r w:rsidRPr="008F7B92">
        <w:t>), but none contain enough to cause reactions in egg-allergic patients. For the last several years, it has been recommended that patients not be asked about egg allergy prior to receiving influenza vaccine. More recently, data have accumulated to show that egg allergy is similarly not a concern for administration of the </w:t>
      </w:r>
      <w:hyperlink r:id="rId11" w:history="1">
        <w:r w:rsidRPr="008F7B92">
          <w:rPr>
            <w:rStyle w:val="Hyperlink"/>
          </w:rPr>
          <w:t>yellow fever vaccine</w:t>
        </w:r>
      </w:hyperlink>
      <w:r w:rsidRPr="008F7B92">
        <w:t>. In the largest study to date, 171 children with egg allergy, including 24 percent with a history of anaphylaxis, underwent skin testing with the yellow fever vaccine and then received it regardless of skin test results, with no allergic reactions [</w:t>
      </w:r>
      <w:hyperlink r:id="rId12" w:history="1">
        <w:r w:rsidRPr="008F7B92">
          <w:rPr>
            <w:rStyle w:val="Hyperlink"/>
          </w:rPr>
          <w:t>1</w:t>
        </w:r>
      </w:hyperlink>
      <w:r w:rsidRPr="008F7B92">
        <w:t>]. Thus, we no longer inquire about egg allergy prior to the administration of any vaccine. Vaccine providers should remain prepared to treat rare allergic reactions that may occur after any vaccine, but no special precautions are necessary for recipients with egg allergy. (See </w:t>
      </w:r>
      <w:hyperlink r:id="rId13" w:history="1">
        <w:r w:rsidRPr="008F7B92">
          <w:rPr>
            <w:rStyle w:val="Hyperlink"/>
          </w:rPr>
          <w:t>"Allergic reactions to vaccines", section on 'Hen's egg'</w:t>
        </w:r>
      </w:hyperlink>
      <w:r w:rsidRPr="008F7B92">
        <w:t>.)</w:t>
      </w:r>
    </w:p>
    <w:sectPr w:rsidR="008F7B92" w:rsidRPr="008F7B92" w:rsidSect="00BD45C5">
      <w:pgSz w:w="12240" w:h="15840"/>
      <w:pgMar w:top="810" w:right="1440" w:bottom="9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BB15A8"/>
    <w:multiLevelType w:val="hybridMultilevel"/>
    <w:tmpl w:val="127A4A6E"/>
    <w:lvl w:ilvl="0" w:tplc="D5FE1640">
      <w:start w:val="1"/>
      <w:numFmt w:val="bullet"/>
      <w:lvlText w:val="•"/>
      <w:lvlJc w:val="left"/>
      <w:pPr>
        <w:tabs>
          <w:tab w:val="num" w:pos="720"/>
        </w:tabs>
        <w:ind w:left="720" w:hanging="360"/>
      </w:pPr>
      <w:rPr>
        <w:rFonts w:ascii="Arial" w:hAnsi="Arial" w:hint="default"/>
      </w:rPr>
    </w:lvl>
    <w:lvl w:ilvl="1" w:tplc="E3D4F75C" w:tentative="1">
      <w:start w:val="1"/>
      <w:numFmt w:val="bullet"/>
      <w:lvlText w:val="•"/>
      <w:lvlJc w:val="left"/>
      <w:pPr>
        <w:tabs>
          <w:tab w:val="num" w:pos="1440"/>
        </w:tabs>
        <w:ind w:left="1440" w:hanging="360"/>
      </w:pPr>
      <w:rPr>
        <w:rFonts w:ascii="Arial" w:hAnsi="Arial" w:hint="default"/>
      </w:rPr>
    </w:lvl>
    <w:lvl w:ilvl="2" w:tplc="3320E2E2" w:tentative="1">
      <w:start w:val="1"/>
      <w:numFmt w:val="bullet"/>
      <w:lvlText w:val="•"/>
      <w:lvlJc w:val="left"/>
      <w:pPr>
        <w:tabs>
          <w:tab w:val="num" w:pos="2160"/>
        </w:tabs>
        <w:ind w:left="2160" w:hanging="360"/>
      </w:pPr>
      <w:rPr>
        <w:rFonts w:ascii="Arial" w:hAnsi="Arial" w:hint="default"/>
      </w:rPr>
    </w:lvl>
    <w:lvl w:ilvl="3" w:tplc="993E4CC8" w:tentative="1">
      <w:start w:val="1"/>
      <w:numFmt w:val="bullet"/>
      <w:lvlText w:val="•"/>
      <w:lvlJc w:val="left"/>
      <w:pPr>
        <w:tabs>
          <w:tab w:val="num" w:pos="2880"/>
        </w:tabs>
        <w:ind w:left="2880" w:hanging="360"/>
      </w:pPr>
      <w:rPr>
        <w:rFonts w:ascii="Arial" w:hAnsi="Arial" w:hint="default"/>
      </w:rPr>
    </w:lvl>
    <w:lvl w:ilvl="4" w:tplc="FB88125C" w:tentative="1">
      <w:start w:val="1"/>
      <w:numFmt w:val="bullet"/>
      <w:lvlText w:val="•"/>
      <w:lvlJc w:val="left"/>
      <w:pPr>
        <w:tabs>
          <w:tab w:val="num" w:pos="3600"/>
        </w:tabs>
        <w:ind w:left="3600" w:hanging="360"/>
      </w:pPr>
      <w:rPr>
        <w:rFonts w:ascii="Arial" w:hAnsi="Arial" w:hint="default"/>
      </w:rPr>
    </w:lvl>
    <w:lvl w:ilvl="5" w:tplc="94786344" w:tentative="1">
      <w:start w:val="1"/>
      <w:numFmt w:val="bullet"/>
      <w:lvlText w:val="•"/>
      <w:lvlJc w:val="left"/>
      <w:pPr>
        <w:tabs>
          <w:tab w:val="num" w:pos="4320"/>
        </w:tabs>
        <w:ind w:left="4320" w:hanging="360"/>
      </w:pPr>
      <w:rPr>
        <w:rFonts w:ascii="Arial" w:hAnsi="Arial" w:hint="default"/>
      </w:rPr>
    </w:lvl>
    <w:lvl w:ilvl="6" w:tplc="BFE2D30A" w:tentative="1">
      <w:start w:val="1"/>
      <w:numFmt w:val="bullet"/>
      <w:lvlText w:val="•"/>
      <w:lvlJc w:val="left"/>
      <w:pPr>
        <w:tabs>
          <w:tab w:val="num" w:pos="5040"/>
        </w:tabs>
        <w:ind w:left="5040" w:hanging="360"/>
      </w:pPr>
      <w:rPr>
        <w:rFonts w:ascii="Arial" w:hAnsi="Arial" w:hint="default"/>
      </w:rPr>
    </w:lvl>
    <w:lvl w:ilvl="7" w:tplc="C84247E0" w:tentative="1">
      <w:start w:val="1"/>
      <w:numFmt w:val="bullet"/>
      <w:lvlText w:val="•"/>
      <w:lvlJc w:val="left"/>
      <w:pPr>
        <w:tabs>
          <w:tab w:val="num" w:pos="5760"/>
        </w:tabs>
        <w:ind w:left="5760" w:hanging="360"/>
      </w:pPr>
      <w:rPr>
        <w:rFonts w:ascii="Arial" w:hAnsi="Arial" w:hint="default"/>
      </w:rPr>
    </w:lvl>
    <w:lvl w:ilvl="8" w:tplc="B742CFB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DF44E19"/>
    <w:multiLevelType w:val="hybridMultilevel"/>
    <w:tmpl w:val="B980F420"/>
    <w:lvl w:ilvl="0" w:tplc="19681C8E">
      <w:start w:val="1"/>
      <w:numFmt w:val="bullet"/>
      <w:lvlText w:val="•"/>
      <w:lvlJc w:val="left"/>
      <w:pPr>
        <w:tabs>
          <w:tab w:val="num" w:pos="720"/>
        </w:tabs>
        <w:ind w:left="720" w:hanging="360"/>
      </w:pPr>
      <w:rPr>
        <w:rFonts w:ascii="Arial" w:hAnsi="Arial" w:hint="default"/>
      </w:rPr>
    </w:lvl>
    <w:lvl w:ilvl="1" w:tplc="CCD470E0" w:tentative="1">
      <w:start w:val="1"/>
      <w:numFmt w:val="bullet"/>
      <w:lvlText w:val="•"/>
      <w:lvlJc w:val="left"/>
      <w:pPr>
        <w:tabs>
          <w:tab w:val="num" w:pos="1440"/>
        </w:tabs>
        <w:ind w:left="1440" w:hanging="360"/>
      </w:pPr>
      <w:rPr>
        <w:rFonts w:ascii="Arial" w:hAnsi="Arial" w:hint="default"/>
      </w:rPr>
    </w:lvl>
    <w:lvl w:ilvl="2" w:tplc="D2E63890" w:tentative="1">
      <w:start w:val="1"/>
      <w:numFmt w:val="bullet"/>
      <w:lvlText w:val="•"/>
      <w:lvlJc w:val="left"/>
      <w:pPr>
        <w:tabs>
          <w:tab w:val="num" w:pos="2160"/>
        </w:tabs>
        <w:ind w:left="2160" w:hanging="360"/>
      </w:pPr>
      <w:rPr>
        <w:rFonts w:ascii="Arial" w:hAnsi="Arial" w:hint="default"/>
      </w:rPr>
    </w:lvl>
    <w:lvl w:ilvl="3" w:tplc="4372B994" w:tentative="1">
      <w:start w:val="1"/>
      <w:numFmt w:val="bullet"/>
      <w:lvlText w:val="•"/>
      <w:lvlJc w:val="left"/>
      <w:pPr>
        <w:tabs>
          <w:tab w:val="num" w:pos="2880"/>
        </w:tabs>
        <w:ind w:left="2880" w:hanging="360"/>
      </w:pPr>
      <w:rPr>
        <w:rFonts w:ascii="Arial" w:hAnsi="Arial" w:hint="default"/>
      </w:rPr>
    </w:lvl>
    <w:lvl w:ilvl="4" w:tplc="F5C053F0" w:tentative="1">
      <w:start w:val="1"/>
      <w:numFmt w:val="bullet"/>
      <w:lvlText w:val="•"/>
      <w:lvlJc w:val="left"/>
      <w:pPr>
        <w:tabs>
          <w:tab w:val="num" w:pos="3600"/>
        </w:tabs>
        <w:ind w:left="3600" w:hanging="360"/>
      </w:pPr>
      <w:rPr>
        <w:rFonts w:ascii="Arial" w:hAnsi="Arial" w:hint="default"/>
      </w:rPr>
    </w:lvl>
    <w:lvl w:ilvl="5" w:tplc="87B836A0" w:tentative="1">
      <w:start w:val="1"/>
      <w:numFmt w:val="bullet"/>
      <w:lvlText w:val="•"/>
      <w:lvlJc w:val="left"/>
      <w:pPr>
        <w:tabs>
          <w:tab w:val="num" w:pos="4320"/>
        </w:tabs>
        <w:ind w:left="4320" w:hanging="360"/>
      </w:pPr>
      <w:rPr>
        <w:rFonts w:ascii="Arial" w:hAnsi="Arial" w:hint="default"/>
      </w:rPr>
    </w:lvl>
    <w:lvl w:ilvl="6" w:tplc="27AAE896" w:tentative="1">
      <w:start w:val="1"/>
      <w:numFmt w:val="bullet"/>
      <w:lvlText w:val="•"/>
      <w:lvlJc w:val="left"/>
      <w:pPr>
        <w:tabs>
          <w:tab w:val="num" w:pos="5040"/>
        </w:tabs>
        <w:ind w:left="5040" w:hanging="360"/>
      </w:pPr>
      <w:rPr>
        <w:rFonts w:ascii="Arial" w:hAnsi="Arial" w:hint="default"/>
      </w:rPr>
    </w:lvl>
    <w:lvl w:ilvl="7" w:tplc="874034CA" w:tentative="1">
      <w:start w:val="1"/>
      <w:numFmt w:val="bullet"/>
      <w:lvlText w:val="•"/>
      <w:lvlJc w:val="left"/>
      <w:pPr>
        <w:tabs>
          <w:tab w:val="num" w:pos="5760"/>
        </w:tabs>
        <w:ind w:left="5760" w:hanging="360"/>
      </w:pPr>
      <w:rPr>
        <w:rFonts w:ascii="Arial" w:hAnsi="Arial" w:hint="default"/>
      </w:rPr>
    </w:lvl>
    <w:lvl w:ilvl="8" w:tplc="7B0AB2B4" w:tentative="1">
      <w:start w:val="1"/>
      <w:numFmt w:val="bullet"/>
      <w:lvlText w:val="•"/>
      <w:lvlJc w:val="left"/>
      <w:pPr>
        <w:tabs>
          <w:tab w:val="num" w:pos="6480"/>
        </w:tabs>
        <w:ind w:left="6480" w:hanging="360"/>
      </w:pPr>
      <w:rPr>
        <w:rFonts w:ascii="Arial" w:hAnsi="Arial" w:hint="default"/>
      </w:rPr>
    </w:lvl>
  </w:abstractNum>
  <w:num w:numId="1" w16cid:durableId="255135193">
    <w:abstractNumId w:val="1"/>
  </w:num>
  <w:num w:numId="2" w16cid:durableId="17727790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B92"/>
    <w:rsid w:val="000B1565"/>
    <w:rsid w:val="00142AA2"/>
    <w:rsid w:val="00313F44"/>
    <w:rsid w:val="004B5628"/>
    <w:rsid w:val="00510CCB"/>
    <w:rsid w:val="008D0060"/>
    <w:rsid w:val="008F7B92"/>
    <w:rsid w:val="00BD45C5"/>
    <w:rsid w:val="00BF73E8"/>
    <w:rsid w:val="00E577A7"/>
    <w:rsid w:val="00F80366"/>
    <w:rsid w:val="00F904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C6507"/>
  <w15:chartTrackingRefBased/>
  <w15:docId w15:val="{2F7E2275-8CFA-40EB-BEA4-00C7A378D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F7B9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F7B9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F7B9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F7B9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F7B9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F7B9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F7B9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F7B9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F7B9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7B9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F7B9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F7B9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F7B9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F7B9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F7B9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F7B9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F7B9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F7B92"/>
    <w:rPr>
      <w:rFonts w:eastAsiaTheme="majorEastAsia" w:cstheme="majorBidi"/>
      <w:color w:val="272727" w:themeColor="text1" w:themeTint="D8"/>
    </w:rPr>
  </w:style>
  <w:style w:type="paragraph" w:styleId="Title">
    <w:name w:val="Title"/>
    <w:basedOn w:val="Normal"/>
    <w:next w:val="Normal"/>
    <w:link w:val="TitleChar"/>
    <w:uiPriority w:val="10"/>
    <w:qFormat/>
    <w:rsid w:val="008F7B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F7B9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F7B9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F7B9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F7B92"/>
    <w:pPr>
      <w:spacing w:before="160"/>
      <w:jc w:val="center"/>
    </w:pPr>
    <w:rPr>
      <w:i/>
      <w:iCs/>
      <w:color w:val="404040" w:themeColor="text1" w:themeTint="BF"/>
    </w:rPr>
  </w:style>
  <w:style w:type="character" w:customStyle="1" w:styleId="QuoteChar">
    <w:name w:val="Quote Char"/>
    <w:basedOn w:val="DefaultParagraphFont"/>
    <w:link w:val="Quote"/>
    <w:uiPriority w:val="29"/>
    <w:rsid w:val="008F7B92"/>
    <w:rPr>
      <w:i/>
      <w:iCs/>
      <w:color w:val="404040" w:themeColor="text1" w:themeTint="BF"/>
    </w:rPr>
  </w:style>
  <w:style w:type="paragraph" w:styleId="ListParagraph">
    <w:name w:val="List Paragraph"/>
    <w:basedOn w:val="Normal"/>
    <w:uiPriority w:val="34"/>
    <w:qFormat/>
    <w:rsid w:val="008F7B92"/>
    <w:pPr>
      <w:ind w:left="720"/>
      <w:contextualSpacing/>
    </w:pPr>
  </w:style>
  <w:style w:type="character" w:styleId="IntenseEmphasis">
    <w:name w:val="Intense Emphasis"/>
    <w:basedOn w:val="DefaultParagraphFont"/>
    <w:uiPriority w:val="21"/>
    <w:qFormat/>
    <w:rsid w:val="008F7B92"/>
    <w:rPr>
      <w:i/>
      <w:iCs/>
      <w:color w:val="2F5496" w:themeColor="accent1" w:themeShade="BF"/>
    </w:rPr>
  </w:style>
  <w:style w:type="paragraph" w:styleId="IntenseQuote">
    <w:name w:val="Intense Quote"/>
    <w:basedOn w:val="Normal"/>
    <w:next w:val="Normal"/>
    <w:link w:val="IntenseQuoteChar"/>
    <w:uiPriority w:val="30"/>
    <w:qFormat/>
    <w:rsid w:val="008F7B9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F7B92"/>
    <w:rPr>
      <w:i/>
      <w:iCs/>
      <w:color w:val="2F5496" w:themeColor="accent1" w:themeShade="BF"/>
    </w:rPr>
  </w:style>
  <w:style w:type="character" w:styleId="IntenseReference">
    <w:name w:val="Intense Reference"/>
    <w:basedOn w:val="DefaultParagraphFont"/>
    <w:uiPriority w:val="32"/>
    <w:qFormat/>
    <w:rsid w:val="008F7B92"/>
    <w:rPr>
      <w:b/>
      <w:bCs/>
      <w:smallCaps/>
      <w:color w:val="2F5496" w:themeColor="accent1" w:themeShade="BF"/>
      <w:spacing w:val="5"/>
    </w:rPr>
  </w:style>
  <w:style w:type="character" w:styleId="Hyperlink">
    <w:name w:val="Hyperlink"/>
    <w:basedOn w:val="DefaultParagraphFont"/>
    <w:uiPriority w:val="99"/>
    <w:unhideWhenUsed/>
    <w:rsid w:val="008F7B92"/>
    <w:rPr>
      <w:color w:val="0563C1" w:themeColor="hyperlink"/>
      <w:u w:val="single"/>
    </w:rPr>
  </w:style>
  <w:style w:type="character" w:styleId="UnresolvedMention">
    <w:name w:val="Unresolved Mention"/>
    <w:basedOn w:val="DefaultParagraphFont"/>
    <w:uiPriority w:val="99"/>
    <w:semiHidden/>
    <w:unhideWhenUsed/>
    <w:rsid w:val="008F7B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736667">
      <w:bodyDiv w:val="1"/>
      <w:marLeft w:val="0"/>
      <w:marRight w:val="0"/>
      <w:marTop w:val="0"/>
      <w:marBottom w:val="0"/>
      <w:divBdr>
        <w:top w:val="none" w:sz="0" w:space="0" w:color="auto"/>
        <w:left w:val="none" w:sz="0" w:space="0" w:color="auto"/>
        <w:bottom w:val="none" w:sz="0" w:space="0" w:color="auto"/>
        <w:right w:val="none" w:sz="0" w:space="0" w:color="auto"/>
      </w:divBdr>
      <w:divsChild>
        <w:div w:id="1047532172">
          <w:marLeft w:val="360"/>
          <w:marRight w:val="0"/>
          <w:marTop w:val="200"/>
          <w:marBottom w:val="240"/>
          <w:divBdr>
            <w:top w:val="none" w:sz="0" w:space="0" w:color="auto"/>
            <w:left w:val="none" w:sz="0" w:space="0" w:color="auto"/>
            <w:bottom w:val="none" w:sz="0" w:space="0" w:color="auto"/>
            <w:right w:val="none" w:sz="0" w:space="0" w:color="auto"/>
          </w:divBdr>
        </w:div>
      </w:divsChild>
    </w:div>
    <w:div w:id="1335766062">
      <w:bodyDiv w:val="1"/>
      <w:marLeft w:val="0"/>
      <w:marRight w:val="0"/>
      <w:marTop w:val="0"/>
      <w:marBottom w:val="0"/>
      <w:divBdr>
        <w:top w:val="none" w:sz="0" w:space="0" w:color="auto"/>
        <w:left w:val="none" w:sz="0" w:space="0" w:color="auto"/>
        <w:bottom w:val="none" w:sz="0" w:space="0" w:color="auto"/>
        <w:right w:val="none" w:sz="0" w:space="0" w:color="auto"/>
      </w:divBdr>
      <w:divsChild>
        <w:div w:id="1949727104">
          <w:marLeft w:val="360"/>
          <w:marRight w:val="0"/>
          <w:marTop w:val="20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4.utdos.ir/contents/image?imageKey=ID%2F85990&amp;topicKey=PCU%2F16722&amp;source=see_link" TargetMode="External"/><Relationship Id="rId13" Type="http://schemas.openxmlformats.org/officeDocument/2006/relationships/hyperlink" Target="https://www4.utdos.ir/contents/allergic-reactions-to-vaccines?sectionName=Hen%27s%20egg&amp;topicRef=16722&amp;anchor=H8&amp;source=see_link" TargetMode="External"/><Relationship Id="rId3" Type="http://schemas.openxmlformats.org/officeDocument/2006/relationships/settings" Target="settings.xml"/><Relationship Id="rId7" Type="http://schemas.openxmlformats.org/officeDocument/2006/relationships/hyperlink" Target="https://www4.utdos.ir/contents/practice-changing-updates/abstract/2" TargetMode="External"/><Relationship Id="rId12" Type="http://schemas.openxmlformats.org/officeDocument/2006/relationships/hyperlink" Target="https://www4.utdos.ir/contents/practice-changing-updates/abstract/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4.utdos.ir/contents/grade/2?title=Grade%201B&amp;topicKey=PCU%2F16722" TargetMode="External"/><Relationship Id="rId11" Type="http://schemas.openxmlformats.org/officeDocument/2006/relationships/hyperlink" Target="https://www4.utdos.ir/contents/yellow-fever-vaccine-drug-information?topicRef=16722&amp;source=see_link" TargetMode="External"/><Relationship Id="rId5" Type="http://schemas.openxmlformats.org/officeDocument/2006/relationships/hyperlink" Target="https://www4.utdos.ir/contents/grade/6?title=Grade%202C&amp;topicKey=PCU%2F16722" TargetMode="External"/><Relationship Id="rId15" Type="http://schemas.openxmlformats.org/officeDocument/2006/relationships/theme" Target="theme/theme1.xml"/><Relationship Id="rId10" Type="http://schemas.openxmlformats.org/officeDocument/2006/relationships/hyperlink" Target="https://www4.utdos.ir/contents/image?imageKey=ALLRG%2F51011&amp;topicKey=PCU%2F16722&amp;source=see_link" TargetMode="External"/><Relationship Id="rId4" Type="http://schemas.openxmlformats.org/officeDocument/2006/relationships/webSettings" Target="webSettings.xml"/><Relationship Id="rId9" Type="http://schemas.openxmlformats.org/officeDocument/2006/relationships/hyperlink" Target="https://www4.utdos.ir/contents/yellow-fever-vaccine-drug-information?topicRef=16722&amp;source=see_link"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554</Words>
  <Characters>3158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lib</dc:creator>
  <cp:keywords/>
  <dc:description/>
  <cp:lastModifiedBy>lib</cp:lastModifiedBy>
  <cp:revision>1</cp:revision>
  <dcterms:created xsi:type="dcterms:W3CDTF">2025-03-30T07:44:00Z</dcterms:created>
  <dcterms:modified xsi:type="dcterms:W3CDTF">2025-03-30T07:59:00Z</dcterms:modified>
</cp:coreProperties>
</file>